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1DFC" w:rsidRPr="00181DFC" w:rsidRDefault="00181DFC" w:rsidP="005F3C3C">
      <w:pPr>
        <w:spacing w:after="120" w:line="240" w:lineRule="auto"/>
        <w:ind w:left="581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81DFC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181DFC" w:rsidRPr="00181DFC" w:rsidRDefault="00181DFC" w:rsidP="005F3C3C">
      <w:pPr>
        <w:spacing w:after="120" w:line="240" w:lineRule="auto"/>
        <w:ind w:left="581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81DFC">
        <w:rPr>
          <w:rFonts w:ascii="Times New Roman" w:hAnsi="Times New Roman" w:cs="Times New Roman"/>
          <w:sz w:val="24"/>
          <w:szCs w:val="24"/>
        </w:rPr>
        <w:t xml:space="preserve">к Концессионному соглашению </w:t>
      </w:r>
    </w:p>
    <w:p w:rsidR="00181DFC" w:rsidRPr="00181DFC" w:rsidRDefault="00AE7387" w:rsidP="005F3C3C">
      <w:pPr>
        <w:spacing w:after="120" w:line="240" w:lineRule="auto"/>
        <w:ind w:left="581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№___ от _____2020</w:t>
      </w:r>
      <w:r w:rsidR="00181DFC" w:rsidRPr="00181DFC">
        <w:rPr>
          <w:rFonts w:ascii="Times New Roman" w:hAnsi="Times New Roman" w:cs="Times New Roman"/>
          <w:sz w:val="24"/>
          <w:szCs w:val="24"/>
        </w:rPr>
        <w:t>г.</w:t>
      </w:r>
    </w:p>
    <w:p w:rsidR="00181DFC" w:rsidRPr="00181DFC" w:rsidRDefault="00181DFC" w:rsidP="005F3C3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DFC" w:rsidRPr="00181DFC" w:rsidRDefault="00181DFC" w:rsidP="005F3C3C">
      <w:pPr>
        <w:widowControl w:val="0"/>
        <w:suppressAutoHyphens/>
        <w:autoSpaceDN w:val="0"/>
        <w:spacing w:after="120" w:line="240" w:lineRule="auto"/>
        <w:jc w:val="center"/>
        <w:textAlignment w:val="baseline"/>
        <w:outlineLvl w:val="0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181DF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ТЕРМИНЫ И ОПРЕДЕЛЕНИЯ</w:t>
      </w:r>
    </w:p>
    <w:p w:rsidR="00181DFC" w:rsidRPr="00181DFC" w:rsidRDefault="00181DFC" w:rsidP="005F3C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DFC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Концессионном соглашении и Приложениях к нему, если иное не следует из контекста, следующие слова и словосочетания имеют значения, указанные ниже.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</w:pP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Акт финансового закрытия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означает документ, подтверждающий достижение Финансового закрытия.</w:t>
      </w:r>
    </w:p>
    <w:p w:rsid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Альтернативный план устранения нарушений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имеет значение, указанное в пункте 17.2</w:t>
      </w:r>
      <w:r w:rsidR="00C441BD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1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.</w:t>
      </w:r>
    </w:p>
    <w:p w:rsidR="002D380D" w:rsidRPr="005F3C3C" w:rsidRDefault="009A06A9" w:rsidP="005F3C3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2D380D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Антимонопольный орган</w:t>
      </w:r>
      <w:r w:rsidR="002D380D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 </w:t>
      </w:r>
      <w:r w:rsidR="002D380D" w:rsidRPr="005F3C3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означает уполномоченны</w:t>
      </w:r>
      <w:r w:rsidR="005F3C3C" w:rsidRPr="005F3C3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й</w:t>
      </w:r>
      <w:r w:rsidR="002D380D" w:rsidRPr="005F3C3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федеральны</w:t>
      </w:r>
      <w:r w:rsidR="005F3C3C" w:rsidRPr="005F3C3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й орган</w:t>
      </w:r>
      <w:r w:rsidR="002D380D" w:rsidRPr="005F3C3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исполнительной власти</w:t>
      </w:r>
      <w:r w:rsidR="005F3C3C" w:rsidRPr="005F3C3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(включая его территориальные подразделения)</w:t>
      </w:r>
      <w:r w:rsidR="002D380D" w:rsidRPr="005F3C3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, осуществляющи</w:t>
      </w:r>
      <w:r w:rsidR="005F3C3C" w:rsidRPr="005F3C3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й</w:t>
      </w:r>
      <w:r w:rsidR="002D380D" w:rsidRPr="005F3C3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функции по контролю за соблюдением антимонопольного законодательства, законодательства в сфере деятельности субъектов естественных монополий, в сфере государственного регулирования цен (тарифов) на товары (услуги), рекламы, контролю за осуществлением иностранных инвестиций в хозяйственные общества, имеющие стратегическое значение для обеспечения обороны страны и безопасности государства, контролю (надзору) в сфере государственного оборонного заказа, в сфере закупок товаров, работ, услуг для обеспечения государственных и муниципальных нужд и в сфере закупок товаров, работ, услуг отдельными видами юридических лиц, а также по согласованию применения закрытых способов определения поставщиков (подрядчиков, исполнителей).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Арбитраж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означает Арбитражный суд Субъекта.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Археологические объекты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объекты или вещи (в том числе, ископаемые, окаменелости, предметы старины), имеющие археологическое, культурное значение или денежную ценность.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Государственная регистрация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означает государственную регистрацию права в Едином государственном реестре недвижимости в соответствии с Федеральным законом от 13 июля 2015 г. № 218-ФЗ "О государственной регистрации недвижимости".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Государственный орган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Президента РФ, Федеральное собрание РФ, Правительство РФ, федеральный орган исполнительной власти, государственный орган Субъекта, любой законодательный, исполнительный или судебный орган государственной власти или орган местного самоуправления на территории РФ, а также образованное или назначенное Субъектом или муниципальным образованием «Город Глазов» и наделенное властными полномочиями учреждение, ведомство или должностное лицо, а равно любую организацию, лицо или иную структуру, являющуюся подразделением или органом какого-либо из указанных выше субъектов, либо действующую по его поручению от его имени, либо иным образом осуществляющую полностью или в части его функции в отношении или в связи с Концессионным соглашением.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Дата заключения концессионного соглашения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дату, в которую Концессионное соглашение было подписано полномочными представителями Сторон.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Дата истечения срока концессионного соглашения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</w:t>
      </w:r>
      <w:r w:rsidR="00FA420F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31 декабря 203</w:t>
      </w:r>
      <w:r w:rsidR="00AE738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5</w:t>
      </w:r>
      <w:r w:rsidR="00FA420F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год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, если Срок не был продлен в соответствии с Концессионным соглашением.</w:t>
      </w:r>
    </w:p>
    <w:p w:rsidR="00181DFC" w:rsidRPr="00181DFC" w:rsidRDefault="00181DFC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Дата прекращения концессионного соглашения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– означает одну из следующих дат: </w:t>
      </w:r>
    </w:p>
    <w:p w:rsidR="00181DFC" w:rsidRPr="00181DFC" w:rsidRDefault="00181DFC" w:rsidP="005F3C3C">
      <w:pPr>
        <w:widowControl w:val="0"/>
        <w:numPr>
          <w:ilvl w:val="0"/>
          <w:numId w:val="1"/>
        </w:numPr>
        <w:tabs>
          <w:tab w:val="left" w:pos="993"/>
        </w:tabs>
        <w:suppressAutoHyphens/>
        <w:autoSpaceDE w:val="0"/>
        <w:autoSpaceDN w:val="0"/>
        <w:adjustRightInd w:val="0"/>
        <w:spacing w:after="120" w:line="240" w:lineRule="auto"/>
        <w:ind w:left="993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Дата истечения срока концессионного соглашения; </w:t>
      </w:r>
    </w:p>
    <w:p w:rsidR="00181DFC" w:rsidRPr="00181DFC" w:rsidRDefault="00181DFC" w:rsidP="005F3C3C">
      <w:pPr>
        <w:widowControl w:val="0"/>
        <w:numPr>
          <w:ilvl w:val="0"/>
          <w:numId w:val="1"/>
        </w:numPr>
        <w:tabs>
          <w:tab w:val="left" w:pos="993"/>
        </w:tabs>
        <w:suppressAutoHyphens/>
        <w:autoSpaceDE w:val="0"/>
        <w:autoSpaceDN w:val="0"/>
        <w:adjustRightInd w:val="0"/>
        <w:spacing w:after="120" w:line="240" w:lineRule="auto"/>
        <w:ind w:left="993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lastRenderedPageBreak/>
        <w:t>дата подписания Сторонами соглашения о досрочном расторжении Концессионного соглашения, если иная дата не указана в таком соглашении;</w:t>
      </w:r>
    </w:p>
    <w:p w:rsidR="00181DFC" w:rsidRPr="00181DFC" w:rsidRDefault="00181DFC" w:rsidP="005F3C3C">
      <w:pPr>
        <w:widowControl w:val="0"/>
        <w:numPr>
          <w:ilvl w:val="0"/>
          <w:numId w:val="1"/>
        </w:numPr>
        <w:tabs>
          <w:tab w:val="left" w:pos="993"/>
        </w:tabs>
        <w:suppressAutoHyphens/>
        <w:autoSpaceDE w:val="0"/>
        <w:autoSpaceDN w:val="0"/>
        <w:adjustRightInd w:val="0"/>
        <w:spacing w:after="120" w:line="240" w:lineRule="auto"/>
        <w:ind w:left="993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дата, определенная в судебном решении о расторжении Концессионного соглашения.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Долгосрочные параметры регулирования </w:t>
      </w:r>
      <w:r w:rsidR="00F2650F" w:rsidRPr="00F2650F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деятельности Концессионера</w:t>
      </w:r>
      <w:r w:rsidR="00F2650F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означает</w:t>
      </w:r>
      <w:r w:rsidR="00FE04FF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предусмотренные Приложением 9 к Концессионному соглашению </w:t>
      </w:r>
      <w:r w:rsidRPr="00181DF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параметры расчета Тарифов.</w:t>
      </w:r>
    </w:p>
    <w:p w:rsidR="00FE04FF" w:rsidRPr="001E2C35" w:rsidRDefault="00FE04FF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Загрязнение </w:t>
      </w:r>
      <w:r w:rsidRPr="001E2C3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означает обнаруженное на Земельном участке увеличение (появление) химических веществ, патогенных организмов</w:t>
      </w:r>
      <w:r w:rsidR="001E2C35" w:rsidRPr="001E2C3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,</w:t>
      </w:r>
      <w:r w:rsidRPr="001E2C3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радиации, изменение химического состава почвы</w:t>
      </w:r>
      <w:r w:rsidR="001E2C35" w:rsidRPr="001E2C3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, иных физических, химических, биологических факторов </w:t>
      </w:r>
      <w:r w:rsidRPr="001E2C3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по сравнению с их ранее существовавшими значениями</w:t>
      </w:r>
      <w:r w:rsidR="001E2C35" w:rsidRPr="001E2C3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.</w:t>
      </w:r>
      <w:r w:rsidRPr="001E2C35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 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Задание и основные мероприятия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задание и основные мероприятия, предусмотренные в Приложении 7.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Закон о концессионных соглашениях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Федеральный закон от 21.07.2005 г. № 115-ФЗ "О концессионных соглашениях" с внесенными в него изменениями и дополнениями.</w:t>
      </w:r>
    </w:p>
    <w:p w:rsidR="00181DFC" w:rsidRPr="000C5565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0C5565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Земельные участки </w:t>
      </w:r>
      <w:r w:rsidRPr="000C556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означает земельные участки, указанные в Приложении 8</w:t>
      </w:r>
      <w:r w:rsidR="007600C8" w:rsidRPr="000C556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и земельные участки, необходимые для осуществления Концессионером Концессионной деятельности, а также Строительства и Реконструкции</w:t>
      </w:r>
      <w:r w:rsidRPr="000C556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.</w:t>
      </w:r>
    </w:p>
    <w:p w:rsidR="00181DFC" w:rsidRPr="00181DFC" w:rsidRDefault="00181DFC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Инвестиционная программа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программу мероприятий Концессионера по строительству, реконструкции </w:t>
      </w:r>
      <w:r w:rsidR="006A1F5B"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и модернизации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объектов централизованной системы </w:t>
      </w:r>
      <w:r w:rsidR="00AE738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теплоснабжения</w:t>
      </w:r>
      <w:r w:rsidR="00A846D4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, входящих в состав Объекта соглашения. </w:t>
      </w:r>
    </w:p>
    <w:p w:rsidR="00181DFC" w:rsidRPr="00181DFC" w:rsidRDefault="00181DFC" w:rsidP="005F3C3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Иное имущество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движимое и недвижимое имущество, принадлежащее Концеденту на праве собственности, которое образует единое целое с </w:t>
      </w:r>
      <w:r w:rsidRPr="00181DFC">
        <w:rPr>
          <w:rFonts w:ascii="Times New Roman" w:hAnsi="Times New Roman" w:cs="Times New Roman"/>
          <w:sz w:val="24"/>
          <w:szCs w:val="24"/>
        </w:rPr>
        <w:t>Объектом соглашения и (или) предназначено для использования в целях создания условий осуществления Концессионером деятельности, предусмотренной Концессионным соглашением,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состав и описание, в том числе технико-экономические показатели, которых приведены в Приложении 2.1</w:t>
      </w:r>
      <w:r w:rsidR="00B02D2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, </w:t>
      </w:r>
      <w:r w:rsidR="00B02D27" w:rsidRPr="00B02D2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в том числе Незарегистрированное имущество, состав и описание, включая технико-экономические показатели, которых приведены в Приложении 2.2.</w:t>
      </w:r>
    </w:p>
    <w:p w:rsidR="00181DFC" w:rsidRPr="00181DFC" w:rsidRDefault="00181DFC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 CYR" w:hAnsi="Times New Roman" w:cs="Times New Roman"/>
          <w:kern w:val="3"/>
          <w:sz w:val="24"/>
          <w:szCs w:val="24"/>
          <w:lang w:eastAsia="ja-JP" w:bidi="fa-IR"/>
        </w:rPr>
      </w:pPr>
      <w:r w:rsidRPr="00181DFC">
        <w:rPr>
          <w:rFonts w:ascii="Times New Roman" w:eastAsia="Times New Roman CYR" w:hAnsi="Times New Roman" w:cs="Times New Roman"/>
          <w:b/>
          <w:bCs/>
          <w:kern w:val="3"/>
          <w:sz w:val="24"/>
          <w:szCs w:val="24"/>
          <w:lang w:eastAsia="ja-JP" w:bidi="fa-IR"/>
        </w:rPr>
        <w:t xml:space="preserve">Концедент </w:t>
      </w:r>
      <w:r w:rsidRPr="00181DFC">
        <w:rPr>
          <w:rFonts w:ascii="Times New Roman" w:eastAsia="Times New Roman CYR" w:hAnsi="Times New Roman" w:cs="Times New Roman"/>
          <w:bCs/>
          <w:kern w:val="3"/>
          <w:sz w:val="24"/>
          <w:szCs w:val="24"/>
          <w:lang w:eastAsia="ja-JP" w:bidi="fa-IR"/>
        </w:rPr>
        <w:t xml:space="preserve">означает Муниципальное образование </w:t>
      </w:r>
      <w:r w:rsidRPr="00181DFC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«Город Глазов»</w:t>
      </w:r>
      <w:r w:rsidRPr="00181DFC">
        <w:rPr>
          <w:rFonts w:ascii="Times New Roman" w:eastAsia="Times New Roman CYR" w:hAnsi="Times New Roman" w:cs="Times New Roman"/>
          <w:kern w:val="3"/>
          <w:sz w:val="24"/>
          <w:szCs w:val="24"/>
          <w:lang w:eastAsia="ja-JP" w:bidi="fa-IR"/>
        </w:rPr>
        <w:t>.</w:t>
      </w:r>
    </w:p>
    <w:p w:rsidR="00181DFC" w:rsidRPr="00181DFC" w:rsidRDefault="00181DFC" w:rsidP="005F3C3C">
      <w:pPr>
        <w:widowControl w:val="0"/>
        <w:tabs>
          <w:tab w:val="left" w:pos="567"/>
          <w:tab w:val="left" w:pos="9356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 CYR" w:hAnsi="Times New Roman" w:cs="Times New Roman"/>
          <w:b/>
          <w:bCs/>
          <w:kern w:val="3"/>
          <w:sz w:val="24"/>
          <w:szCs w:val="24"/>
          <w:lang w:eastAsia="ru-RU" w:bidi="hi-IN"/>
        </w:rPr>
        <w:t xml:space="preserve">Концессионер </w:t>
      </w:r>
      <w:r w:rsidRPr="00181DFC">
        <w:rPr>
          <w:rFonts w:ascii="Times New Roman" w:eastAsia="Times New Roman CYR" w:hAnsi="Times New Roman" w:cs="Times New Roman"/>
          <w:kern w:val="3"/>
          <w:sz w:val="24"/>
          <w:szCs w:val="24"/>
          <w:lang w:eastAsia="ru-RU" w:bidi="hi-IN"/>
        </w:rPr>
        <w:t xml:space="preserve">означает </w:t>
      </w:r>
      <w:r w:rsidR="00AE7387" w:rsidRPr="00AE7387">
        <w:rPr>
          <w:rFonts w:ascii="Times New Roman" w:eastAsia="Times New Roman CYR" w:hAnsi="Times New Roman" w:cs="Times New Roman"/>
          <w:kern w:val="3"/>
          <w:sz w:val="24"/>
          <w:szCs w:val="24"/>
          <w:lang w:eastAsia="ru-RU" w:bidi="hi-IN"/>
        </w:rPr>
        <w:t>Общество с ограниченной ответственностью «Тепловодоканал»</w:t>
      </w:r>
      <w:r w:rsidR="00AE7387">
        <w:rPr>
          <w:rFonts w:ascii="Times New Roman" w:eastAsia="Times New Roman CYR" w:hAnsi="Times New Roman" w:cs="Times New Roman"/>
          <w:kern w:val="3"/>
          <w:sz w:val="24"/>
          <w:szCs w:val="24"/>
          <w:lang w:eastAsia="ru-RU" w:bidi="hi-IN"/>
        </w:rPr>
        <w:t>.</w:t>
      </w:r>
    </w:p>
    <w:p w:rsid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Концессионное соглашение </w:t>
      </w:r>
      <w:r w:rsidRPr="00181DFC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 w:bidi="hi-IN"/>
        </w:rPr>
        <w:t>означает настоящее соглашение.</w:t>
      </w:r>
    </w:p>
    <w:p w:rsid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181DF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 w:bidi="hi-IN"/>
        </w:rPr>
        <w:t>Концессионная деятельность</w:t>
      </w:r>
      <w:r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 w:bidi="hi-IN"/>
        </w:rPr>
        <w:t xml:space="preserve"> означает осуществляемая Концессионером в рамках Концессионного соглашения </w:t>
      </w:r>
      <w:r w:rsidRPr="00713228">
        <w:rPr>
          <w:rFonts w:ascii="Times New Roman" w:hAnsi="Times New Roman"/>
          <w:sz w:val="24"/>
          <w:szCs w:val="24"/>
        </w:rPr>
        <w:t xml:space="preserve">деятельность по </w:t>
      </w:r>
      <w:r w:rsidR="00AE7387">
        <w:rPr>
          <w:rFonts w:ascii="Times New Roman" w:hAnsi="Times New Roman"/>
          <w:sz w:val="24"/>
          <w:szCs w:val="24"/>
        </w:rPr>
        <w:t>теплоснабжению</w:t>
      </w:r>
      <w:r w:rsidRPr="00713228">
        <w:rPr>
          <w:rFonts w:ascii="Times New Roman" w:hAnsi="Times New Roman"/>
          <w:sz w:val="24"/>
          <w:szCs w:val="24"/>
        </w:rPr>
        <w:t xml:space="preserve"> с использованием (эксплуатацией) Объекта соглашения и Иного имущества</w:t>
      </w:r>
      <w:r>
        <w:rPr>
          <w:rFonts w:ascii="Times New Roman" w:hAnsi="Times New Roman"/>
          <w:sz w:val="24"/>
          <w:szCs w:val="24"/>
        </w:rPr>
        <w:t>.</w:t>
      </w:r>
    </w:p>
    <w:p w:rsidR="003F5CFB" w:rsidRPr="00181DFC" w:rsidRDefault="003F5CFB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 w:bidi="hi-IN"/>
        </w:rPr>
      </w:pPr>
      <w:r w:rsidRPr="003F5CFB">
        <w:rPr>
          <w:rFonts w:ascii="Times New Roman" w:hAnsi="Times New Roman"/>
          <w:b/>
          <w:bCs/>
          <w:sz w:val="24"/>
          <w:szCs w:val="24"/>
        </w:rPr>
        <w:t>Кредитор</w:t>
      </w:r>
      <w:r>
        <w:rPr>
          <w:rFonts w:ascii="Times New Roman" w:hAnsi="Times New Roman"/>
          <w:sz w:val="24"/>
          <w:szCs w:val="24"/>
        </w:rPr>
        <w:t xml:space="preserve"> означает </w:t>
      </w:r>
      <w:r>
        <w:rPr>
          <w:rFonts w:ascii="Times New Roman" w:hAnsi="Times New Roman" w:cs="Times New Roman"/>
          <w:sz w:val="24"/>
        </w:rPr>
        <w:t>Акционерное общество «Чепецкий механический завод» (ИНН 1829008035, ОГРН 1021801092158).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Лицо, относящееся к концеденту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81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означает уполномоченные должностные лица Концедента, а также органы местного самоуправления муниципального образования «Город Глазов» и подведомственные им организации (включая их представителей и сотрудников), которые имеют полномочия, непосредственно относящиеся к исполнению Концессионного соглашения. 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Лицо, относящееся </w:t>
      </w:r>
      <w:r w:rsidR="00AE7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субъекту</w:t>
      </w:r>
      <w:r w:rsidRPr="00181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81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означает уполномоченные должностные лица </w:t>
      </w:r>
      <w:r w:rsidR="00AE7387" w:rsidRPr="00181DF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Субъекта,</w:t>
      </w:r>
      <w:r w:rsidRPr="00181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органы исполнительной власти Субъекта и подведомственные им организации (включая их представителей и сотрудников), которые имеют полномочия, непосредственно относящиеся к исполнению Концессионного соглашения. </w:t>
      </w:r>
    </w:p>
    <w:p w:rsid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Лицо, относящееся </w:t>
      </w:r>
      <w:r w:rsidR="00AE7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концессионеру</w:t>
      </w:r>
      <w:r w:rsidRPr="00181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означает генерального подрядчика, генерального </w:t>
      </w:r>
      <w:r w:rsidRPr="00181D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проектировщика, эксплуатирующую организацию.</w:t>
      </w:r>
    </w:p>
    <w:p w:rsidR="00B24297" w:rsidRPr="00B24297" w:rsidRDefault="00B24297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B24297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Незарегистрированное имущество </w:t>
      </w:r>
      <w:r w:rsidRPr="00B2429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означает недвижимое имущество, перед</w:t>
      </w:r>
      <w:r w:rsidR="000153F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аваемое Концессионеру в составе </w:t>
      </w:r>
      <w:r w:rsidRPr="00B2429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Иного имущества, не прошедшее в установленном Законодательством порядке государственного кадастрового учета и (или) государственной регистрации прав, сведения о котором отсутствуют в Едином государственном реестре недвижимости, состав и описание, в том числе технико-экономические показатели, которых приведены в Приложении 2.2.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81DFC">
        <w:rPr>
          <w:rFonts w:ascii="Times New Roman" w:hAnsi="Times New Roman" w:cs="Times New Roman"/>
          <w:b/>
          <w:sz w:val="24"/>
          <w:szCs w:val="24"/>
        </w:rPr>
        <w:t>Обстоятельство непреодолимой силы</w:t>
      </w:r>
      <w:r w:rsidRPr="00181DFC">
        <w:rPr>
          <w:rFonts w:ascii="Times New Roman" w:hAnsi="Times New Roman" w:cs="Times New Roman"/>
          <w:sz w:val="24"/>
          <w:szCs w:val="24"/>
        </w:rPr>
        <w:t xml:space="preserve"> имеет значение, указанное в </w:t>
      </w:r>
      <w:r w:rsidR="005F3C3C">
        <w:rPr>
          <w:rFonts w:ascii="Times New Roman" w:hAnsi="Times New Roman" w:cs="Times New Roman"/>
          <w:sz w:val="24"/>
          <w:szCs w:val="24"/>
        </w:rPr>
        <w:t>разделе</w:t>
      </w:r>
      <w:r w:rsidRPr="00181DFC">
        <w:rPr>
          <w:rFonts w:ascii="Times New Roman" w:hAnsi="Times New Roman" w:cs="Times New Roman"/>
          <w:sz w:val="24"/>
          <w:szCs w:val="24"/>
        </w:rPr>
        <w:t xml:space="preserve"> </w:t>
      </w:r>
      <w:r w:rsidR="00095B0B">
        <w:rPr>
          <w:rFonts w:ascii="Times New Roman" w:hAnsi="Times New Roman" w:cs="Times New Roman"/>
          <w:sz w:val="24"/>
          <w:szCs w:val="24"/>
        </w:rPr>
        <w:t xml:space="preserve">14. </w:t>
      </w:r>
    </w:p>
    <w:p w:rsid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81DFC">
        <w:rPr>
          <w:rFonts w:ascii="Times New Roman" w:hAnsi="Times New Roman" w:cs="Times New Roman"/>
          <w:b/>
          <w:sz w:val="24"/>
          <w:szCs w:val="24"/>
        </w:rPr>
        <w:t>Объект соглашения</w:t>
      </w:r>
      <w:r w:rsidRPr="00181DFC">
        <w:rPr>
          <w:rFonts w:ascii="Times New Roman" w:hAnsi="Times New Roman" w:cs="Times New Roman"/>
          <w:sz w:val="24"/>
          <w:szCs w:val="24"/>
        </w:rPr>
        <w:t xml:space="preserve"> означает подлежащие созданию и реконструкции объекты </w:t>
      </w:r>
      <w:r w:rsidR="00AE7387">
        <w:rPr>
          <w:rFonts w:ascii="Times New Roman" w:hAnsi="Times New Roman" w:cs="Times New Roman"/>
          <w:sz w:val="24"/>
          <w:szCs w:val="24"/>
        </w:rPr>
        <w:t>теплоснабжения</w:t>
      </w:r>
      <w:r w:rsidRPr="00181DFC">
        <w:rPr>
          <w:rFonts w:ascii="Times New Roman" w:hAnsi="Times New Roman" w:cs="Times New Roman"/>
          <w:sz w:val="24"/>
          <w:szCs w:val="24"/>
        </w:rPr>
        <w:t>, состав и описание, в том числе технико-экономические показатели, которых приведены в Приложении 2.</w:t>
      </w:r>
    </w:p>
    <w:p w:rsidR="00181DFC" w:rsidRPr="00181DFC" w:rsidRDefault="00181DFC" w:rsidP="005F3C3C">
      <w:pPr>
        <w:widowControl w:val="0"/>
        <w:tabs>
          <w:tab w:val="left" w:pos="567"/>
          <w:tab w:val="left" w:pos="9072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Особое обстоятельство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имеет значение, указанное в разделе 13. </w:t>
      </w:r>
    </w:p>
    <w:p w:rsidR="00181DFC" w:rsidRPr="00181DFC" w:rsidRDefault="00181DFC" w:rsidP="005F3C3C">
      <w:pPr>
        <w:widowControl w:val="0"/>
        <w:tabs>
          <w:tab w:val="left" w:pos="720"/>
          <w:tab w:val="left" w:pos="1430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 w:bidi="hi-IN"/>
        </w:rPr>
        <w:t xml:space="preserve">План устранения нарушений </w:t>
      </w:r>
      <w:r w:rsidRPr="00181DFC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 w:bidi="hi-IN"/>
        </w:rPr>
        <w:t>имеет значение, указанное в пункте 17.</w:t>
      </w:r>
      <w:r w:rsidR="00C441BD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 w:bidi="hi-IN"/>
        </w:rPr>
        <w:t>19</w:t>
      </w:r>
      <w:r w:rsidR="005F3C3C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 w:bidi="hi-IN"/>
        </w:rPr>
        <w:t>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Плановые значения показателей деятельности концессионера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означает показатели надежности</w:t>
      </w:r>
      <w:r w:rsidR="00F2650F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, качества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и энергетической эффективности объектов </w:t>
      </w:r>
      <w:r w:rsidR="00AE738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теплоснабжения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, входящих в состав Объекта соглашения, приведенные в Приложении 5, применяемые для определения степени исполнения обязательств Концессионера по </w:t>
      </w:r>
      <w:r w:rsidR="00F2650F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созданию и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реконструкции Объекта соглашения, а также для целей регулирования Тарифов.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Подрядчик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означает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лицо, привлекаемое Концессионером для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Создания и </w:t>
      </w:r>
      <w:r w:rsidR="00AE738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(или)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Реконструкции имущества в составе Объекта соглашения. 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Порядок разрешения споров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порядок разрешения Споров, предусмотренный </w:t>
      </w:r>
      <w:r w:rsidR="005F3C3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разделом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 20.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Потребитель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физическое или юридическое лицо, являющееся потребителем услуг </w:t>
      </w:r>
      <w:r w:rsidR="00AE738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теплоснабжения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на территории</w:t>
      </w:r>
      <w:r w:rsidR="00F1164D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муниципального образования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«Город </w:t>
      </w:r>
      <w:r w:rsidR="00AE7387"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Глазов»</w:t>
      </w:r>
      <w:r w:rsidR="00AE7387"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и</w:t>
      </w:r>
      <w:r w:rsidR="00F1164D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Глазовского района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в соответствии с Законодательством.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Предварительные условия Финансового закрытия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означает условия, указанные в пунктах 9.3 – 9.7.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Законодательство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вступившие в силу и сохраняющие действие федеральные законы Российской Федерации, законы </w:t>
      </w:r>
      <w:r w:rsidR="006A1F5B"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Субъекта, нормативные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правовые акты Российской Федерации и Субъекта, нормативные правовые акты муниципального образования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городской округ «Город Глазов»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PMingLiU" w:hAnsi="Times New Roman" w:cs="Times New Roman"/>
          <w:kern w:val="3"/>
          <w:sz w:val="24"/>
          <w:szCs w:val="24"/>
          <w:lang w:eastAsia="zh-TW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Проектирование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</w:t>
      </w:r>
      <w:r w:rsidRPr="00181DFC">
        <w:rPr>
          <w:rFonts w:ascii="Times New Roman" w:eastAsia="PMingLiU" w:hAnsi="Times New Roman" w:cs="Times New Roman"/>
          <w:kern w:val="3"/>
          <w:sz w:val="24"/>
          <w:szCs w:val="24"/>
          <w:lang w:eastAsia="zh-TW" w:bidi="hi-IN"/>
        </w:rPr>
        <w:t>подготовку Проектной документации применительно к Объекту соглашения.</w:t>
      </w:r>
    </w:p>
    <w:p w:rsidR="00181DFC" w:rsidRPr="00181DFC" w:rsidRDefault="00181DFC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val="de-DE" w:eastAsia="ja-JP" w:bidi="fa-IR"/>
        </w:rPr>
        <w:t>Проектная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ja-JP" w:bidi="fa-IR"/>
        </w:rPr>
        <w:t xml:space="preserve"> </w:t>
      </w: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val="de-DE" w:eastAsia="ja-JP" w:bidi="fa-IR"/>
        </w:rPr>
        <w:t>документация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означает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документаци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>ю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, </w:t>
      </w:r>
      <w:r w:rsid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содержащ</w:t>
      </w:r>
      <w:r w:rsidR="00FF6007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>ую</w:t>
      </w:r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материалы в текстовой и графической формах и определяющая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>.</w:t>
      </w:r>
      <w:r w:rsidR="00FF6007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Прямое соглашение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соглашение, заключаемое между Концедентом, Концессионером и Финансирующей организацией </w:t>
      </w:r>
      <w:r w:rsidRPr="00181DFC">
        <w:rPr>
          <w:rFonts w:ascii="Times New Roman" w:hAnsi="Times New Roman" w:cs="Times New Roman"/>
          <w:sz w:val="24"/>
          <w:szCs w:val="24"/>
        </w:rPr>
        <w:t xml:space="preserve">в случае, если для исполнения обязательств Концессионера по Концессионному соглашению Концессионер привлекает средства Финансирующей организации, предусматривающее использование прав Концессионера по Концессионному соглашению в качестве способа обеспечения исполнения обязательств Концессионера перед Финансирующей организацией в порядке и на условиях, которые определяются Концессионным соглашением в соответствии Законом «О концессионных соглашениях», а также учет мнения Финансирующей организации при согласовании замещающего лица. 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MS Mincho" w:hAnsi="Times New Roman" w:cs="Times New Roman"/>
          <w:b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Разрешение на ввод в эксплуатацию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в отношении любого из объектов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lastRenderedPageBreak/>
        <w:t>недвижимости, входящего в состав Объекта соглашения, выданный надлежащим Государственным органом документ, который удос</w:t>
      </w:r>
      <w:r w:rsidR="00FC3DFE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товеряет завершение выполнения р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абот в полном объеме в соответствии с Разрешениями и Законодательством. 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MS Mincho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MS Mincho" w:hAnsi="Times New Roman" w:cs="Times New Roman"/>
          <w:b/>
          <w:kern w:val="3"/>
          <w:sz w:val="24"/>
          <w:szCs w:val="24"/>
          <w:lang w:eastAsia="ru-RU" w:bidi="hi-IN"/>
        </w:rPr>
        <w:t xml:space="preserve">Разрешения </w:t>
      </w:r>
      <w:r w:rsidRPr="00181DFC">
        <w:rPr>
          <w:rFonts w:ascii="Times New Roman" w:eastAsia="MS Mincho" w:hAnsi="Times New Roman" w:cs="Times New Roman"/>
          <w:kern w:val="3"/>
          <w:sz w:val="24"/>
          <w:szCs w:val="24"/>
          <w:lang w:eastAsia="ru-RU" w:bidi="hi-IN"/>
        </w:rPr>
        <w:t xml:space="preserve">означает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разрешения, согласования, допуски и лицензии (включая разрешения, согласования и лицензии Подрядчика и иных Лиц, относящихся к концессионеру), необходимые в соответствии с Законодательством для исполнения Концессионером и Лицами, относящимися к концессионеру обязательств по Концессионному соглашению</w:t>
      </w:r>
      <w:r w:rsidRPr="00181DFC">
        <w:rPr>
          <w:rFonts w:ascii="Times New Roman" w:eastAsia="MS Mincho" w:hAnsi="Times New Roman" w:cs="Times New Roman"/>
          <w:kern w:val="3"/>
          <w:sz w:val="24"/>
          <w:szCs w:val="24"/>
          <w:lang w:eastAsia="ru-RU" w:bidi="hi-IN"/>
        </w:rPr>
        <w:t>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Реконструкция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означает мероприятия по переустройству Объекта соглашения </w:t>
      </w:r>
      <w:r w:rsidR="0005168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или его отдельных частей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на основе внедрения новых технологий, механизации и автоматизации производства, модернизации и замены морально устаревшего и физически изношенного оборудования новым более производительным оборудованием, изменению технологического или функционального назначения, иные мероприятия по улучшению характеристик и эксплуатационных свойств Объекта соглашения.</w:t>
      </w:r>
    </w:p>
    <w:p w:rsidR="00181DFC" w:rsidRPr="00181DFC" w:rsidRDefault="00181DFC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Соглашения о финансировании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любые соглашения между Финансирующей организацией и Концессионером о предоставлении Концессионеру заемного финансирования для исполнения им своих обязательств по Концессионному соглашению.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Создание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создание новых объектов в составе Объекта соглашения, </w:t>
      </w:r>
      <w:r w:rsidRPr="00181DFC">
        <w:rPr>
          <w:rFonts w:ascii="Times New Roman" w:hAnsi="Times New Roman" w:cs="Times New Roman"/>
          <w:sz w:val="24"/>
          <w:szCs w:val="24"/>
        </w:rPr>
        <w:t>права собственности на которые будут принадлежать Концеденту.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Спор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имеет значение, указанное в пункте 20.1.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Срок действия Концессионного соглашения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период времени, в течение которого действует Концессионное соглашение.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Сторона, Стороны </w:t>
      </w:r>
      <w:r w:rsidRPr="00181DFC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 w:bidi="hi-IN"/>
        </w:rPr>
        <w:t>означает Концессионера, Концедента и Субъекта.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Тарифы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регулируемые цены (тарифы) на услуги </w:t>
      </w:r>
      <w:r w:rsidR="00AE738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теплоснабжения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, оказываемые Концессионером в рамках осуществления Концессионной деятельности, устанавливаемые в соответствии с Долгосрочными параметрами регулирования.</w:t>
      </w:r>
    </w:p>
    <w:p w:rsidR="00181DFC" w:rsidRDefault="00181DFC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val="de-DE" w:eastAsia="ja-JP" w:bidi="fa-IR"/>
        </w:rPr>
        <w:t>Финансирующая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ja-JP" w:bidi="fa-IR"/>
        </w:rPr>
        <w:t xml:space="preserve"> </w:t>
      </w: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val="de-DE" w:eastAsia="ja-JP" w:bidi="fa-IR"/>
        </w:rPr>
        <w:t>организация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ja-JP" w:bidi="fa-IR"/>
        </w:rPr>
        <w:t xml:space="preserve"> </w:t>
      </w:r>
      <w:r w:rsidRPr="00181DFC">
        <w:rPr>
          <w:rFonts w:ascii="Times New Roman" w:eastAsia="MS Mincho" w:hAnsi="Times New Roman" w:cs="Times New Roman"/>
          <w:kern w:val="3"/>
          <w:sz w:val="24"/>
          <w:szCs w:val="24"/>
          <w:lang w:eastAsia="ru-RU" w:bidi="hi-IN"/>
        </w:rPr>
        <w:t xml:space="preserve">означает 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банк</w:t>
      </w:r>
      <w:r w:rsidR="00BE6E68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="00BE6E68" w:rsidRPr="00F2461E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или фонд</w:t>
      </w:r>
      <w:r w:rsidRPr="00F2461E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, предоставляющ</w:t>
      </w:r>
      <w:r w:rsidRPr="00F2461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ий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Концессионеру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з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аемные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инвестиции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для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финансирования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Концессионера.</w:t>
      </w:r>
    </w:p>
    <w:p w:rsidR="00F34E7B" w:rsidRPr="00F34E7B" w:rsidRDefault="00F34E7B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</w:pPr>
      <w:r w:rsidRPr="00F34E7B">
        <w:rPr>
          <w:rFonts w:ascii="Times New Roman" w:eastAsia="Times New Roman" w:hAnsi="Times New Roman" w:cs="Times New Roman"/>
          <w:b/>
          <w:kern w:val="3"/>
          <w:sz w:val="24"/>
          <w:szCs w:val="24"/>
          <w:lang w:val="de-DE" w:eastAsia="ja-JP" w:bidi="fa-IR"/>
        </w:rPr>
        <w:t xml:space="preserve">Финансовое закрытие </w:t>
      </w:r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означает дату, по состоянию на которую заключены соглашения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между Концессионером и Финансирующей организацией</w:t>
      </w:r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, включая Соглашения о финансировании, о предоставлении Концессионеру финансирования в объеме, необходимом для выполнения обязательств Концессионера по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Созданию и</w:t>
      </w:r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Реконструкции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>О</w:t>
      </w:r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бъекта соглашения.</w:t>
      </w:r>
    </w:p>
    <w:p w:rsidR="00181DFC" w:rsidRPr="00181DFC" w:rsidRDefault="00181DFC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</w:pPr>
      <w:r w:rsidRPr="00181DFC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  <w:t>Эксплуатация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означает</w:t>
      </w:r>
      <w:r w:rsidR="00F34E7B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осуществление Концессионером деятельности</w:t>
      </w:r>
      <w:r w:rsidR="00F34E7B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181DFC">
        <w:rPr>
          <w:rFonts w:ascii="Times New Roman" w:hAnsi="Times New Roman" w:cs="Times New Roman"/>
          <w:sz w:val="24"/>
          <w:szCs w:val="24"/>
        </w:rPr>
        <w:t xml:space="preserve">по </w:t>
      </w:r>
      <w:r w:rsidR="00AE7387">
        <w:rPr>
          <w:rFonts w:ascii="Times New Roman" w:hAnsi="Times New Roman" w:cs="Times New Roman"/>
          <w:sz w:val="24"/>
          <w:szCs w:val="24"/>
        </w:rPr>
        <w:t>теплоснабжению</w:t>
      </w:r>
      <w:r w:rsidRPr="00181DFC">
        <w:rPr>
          <w:rFonts w:ascii="Times New Roman" w:hAnsi="Times New Roman" w:cs="Times New Roman"/>
          <w:sz w:val="24"/>
          <w:szCs w:val="24"/>
        </w:rPr>
        <w:t xml:space="preserve"> 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с использованием Объекта соглашения и Иного имущества в целях и на условиях, установленных Концессионным соглашением</w:t>
      </w:r>
      <w:r w:rsidR="00F13DC2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и Законодательством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.</w:t>
      </w:r>
    </w:p>
    <w:p w:rsidR="00181DFC" w:rsidRPr="00181DFC" w:rsidRDefault="00181DFC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181DFC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  <w:t>Элемент Объекта соглашения, подлежащий Реконструкции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, означает имущество, входящее в состав Объекта Соглашения, перечисленное в приложении 2 в качестве такового и подлежащее Реконструкции.</w:t>
      </w:r>
    </w:p>
    <w:p w:rsidR="00181DFC" w:rsidRPr="00181DFC" w:rsidRDefault="00181DFC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181DFC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  <w:t>Элемент Объекта соглашения, подлежащий Созданию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, означает имущество, входящее в состав Объекта Соглашения, перечисленное в приложении 2 в качестве такового и подлежащее Созданию.</w:t>
      </w:r>
    </w:p>
    <w:p w:rsidR="00181DFC" w:rsidRPr="00181DFC" w:rsidRDefault="00181DFC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181DFC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  <w:t xml:space="preserve">Экспертиза – 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государственная экспертиза проектной документации и результатов инженерных изысканий, проводимая в соответствии с Градостроительным кодексом Российской Федерации от 29 декабря 2004 года № 190-ФЗ и иным 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Законодательством 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181DFC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  <w:t>(«Государственная экспертиза»)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, а также прохождение проверки достоверности определения сметной стоимости объекта капитального строительства в соответствии 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lastRenderedPageBreak/>
        <w:t>Законодательством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181DFC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  <w:t>(«Проверка достоверности определения сметной стоимости»)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.</w:t>
      </w:r>
    </w:p>
    <w:p w:rsidR="00181DFC" w:rsidRPr="00181DFC" w:rsidRDefault="00181DFC" w:rsidP="005F3C3C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DF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следует из контекста, в Концессионном соглашении:</w:t>
      </w:r>
    </w:p>
    <w:p w:rsidR="00181DFC" w:rsidRPr="00181DFC" w:rsidRDefault="00181DFC" w:rsidP="005F3C3C">
      <w:pPr>
        <w:widowControl w:val="0"/>
        <w:numPr>
          <w:ilvl w:val="2"/>
          <w:numId w:val="3"/>
        </w:numPr>
        <w:suppressAutoHyphens/>
        <w:autoSpaceDN w:val="0"/>
        <w:spacing w:after="12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81DFC">
        <w:rPr>
          <w:rFonts w:ascii="Times New Roman" w:eastAsia="Calibri" w:hAnsi="Times New Roman" w:cs="Times New Roman"/>
          <w:sz w:val="24"/>
          <w:szCs w:val="24"/>
          <w:lang w:eastAsia="ru-RU"/>
        </w:rPr>
        <w:t>наименования пунктов и Приложений, используемые в Концессионном соглашении, приводятся исключительно для информации и не могут быть использованы для толкования положений Концессионного соглашения и Приложений к нему;</w:t>
      </w:r>
    </w:p>
    <w:p w:rsidR="00181DFC" w:rsidRPr="00181DFC" w:rsidRDefault="00181DFC" w:rsidP="005F3C3C">
      <w:pPr>
        <w:widowControl w:val="0"/>
        <w:numPr>
          <w:ilvl w:val="2"/>
          <w:numId w:val="3"/>
        </w:numPr>
        <w:suppressAutoHyphens/>
        <w:autoSpaceDN w:val="0"/>
        <w:spacing w:after="12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81DFC">
        <w:rPr>
          <w:rFonts w:ascii="Times New Roman" w:eastAsia="Calibri" w:hAnsi="Times New Roman" w:cs="Times New Roman"/>
          <w:sz w:val="24"/>
          <w:szCs w:val="24"/>
          <w:lang w:eastAsia="ru-RU"/>
        </w:rPr>
        <w:t>слова и выражения, использованные в единственном числе, также подразумевают такие слова и выражения во множественном числе и наоборот;</w:t>
      </w:r>
    </w:p>
    <w:p w:rsidR="00181DFC" w:rsidRPr="00181DFC" w:rsidRDefault="00181DFC" w:rsidP="005F3C3C">
      <w:pPr>
        <w:widowControl w:val="0"/>
        <w:numPr>
          <w:ilvl w:val="2"/>
          <w:numId w:val="3"/>
        </w:numPr>
        <w:suppressAutoHyphens/>
        <w:autoSpaceDN w:val="0"/>
        <w:spacing w:after="12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81DFC">
        <w:rPr>
          <w:rFonts w:ascii="Times New Roman" w:eastAsia="Calibri" w:hAnsi="Times New Roman" w:cs="Times New Roman"/>
          <w:sz w:val="24"/>
          <w:szCs w:val="24"/>
          <w:lang w:eastAsia="ru-RU"/>
        </w:rPr>
        <w:t>любые указание на род подразумевают также указания на любые иные рода;</w:t>
      </w:r>
    </w:p>
    <w:p w:rsidR="00181DFC" w:rsidRPr="00181DFC" w:rsidRDefault="00181DFC" w:rsidP="005F3C3C">
      <w:pPr>
        <w:widowControl w:val="0"/>
        <w:numPr>
          <w:ilvl w:val="2"/>
          <w:numId w:val="3"/>
        </w:numPr>
        <w:suppressAutoHyphens/>
        <w:autoSpaceDN w:val="0"/>
        <w:spacing w:after="12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81DFC">
        <w:rPr>
          <w:rFonts w:ascii="Times New Roman" w:eastAsia="Calibri" w:hAnsi="Times New Roman" w:cs="Times New Roman"/>
          <w:sz w:val="24"/>
          <w:szCs w:val="24"/>
          <w:lang w:eastAsia="ru-RU"/>
        </w:rPr>
        <w:t>любые ссылки на пункты и Приложения означают ссылки на пункты и Приложения Концессионного соглашения, если иное не следует из контекста;</w:t>
      </w:r>
    </w:p>
    <w:p w:rsidR="00181DFC" w:rsidRPr="00181DFC" w:rsidRDefault="00181DFC" w:rsidP="005F3C3C">
      <w:pPr>
        <w:widowControl w:val="0"/>
        <w:numPr>
          <w:ilvl w:val="2"/>
          <w:numId w:val="3"/>
        </w:numPr>
        <w:suppressAutoHyphens/>
        <w:autoSpaceDN w:val="0"/>
        <w:spacing w:after="12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81DFC">
        <w:rPr>
          <w:rFonts w:ascii="Times New Roman" w:eastAsia="Calibri" w:hAnsi="Times New Roman" w:cs="Times New Roman"/>
          <w:sz w:val="24"/>
          <w:szCs w:val="24"/>
          <w:lang w:eastAsia="ru-RU"/>
        </w:rPr>
        <w:t>все временные периоды указаны в соответствии с Григорианским календарем, любое упоминание о времени дня означает время в Удмуртской Республике; ссылка на «день» означает календарный день, ссылка на «месяц» означает календарный месяц, ссылка на «год» означает календарный год;</w:t>
      </w:r>
    </w:p>
    <w:p w:rsidR="00181DFC" w:rsidRPr="00181DFC" w:rsidRDefault="00181DFC" w:rsidP="005F3C3C">
      <w:pPr>
        <w:widowControl w:val="0"/>
        <w:numPr>
          <w:ilvl w:val="2"/>
          <w:numId w:val="3"/>
        </w:numPr>
        <w:suppressAutoHyphens/>
        <w:autoSpaceDN w:val="0"/>
        <w:spacing w:after="12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81DFC">
        <w:rPr>
          <w:rFonts w:ascii="Times New Roman" w:eastAsia="Calibri" w:hAnsi="Times New Roman" w:cs="Times New Roman"/>
          <w:sz w:val="24"/>
          <w:szCs w:val="24"/>
          <w:lang w:eastAsia="ru-RU"/>
        </w:rPr>
        <w:t>любая ссылка на какое-либо лицо подразумевает также (в зависимости от обстоятельств) его правопреемников или разрешенных цессионариев;</w:t>
      </w:r>
    </w:p>
    <w:p w:rsidR="00181DFC" w:rsidRPr="00181DFC" w:rsidRDefault="00181DFC" w:rsidP="005F3C3C">
      <w:pPr>
        <w:widowControl w:val="0"/>
        <w:numPr>
          <w:ilvl w:val="2"/>
          <w:numId w:val="3"/>
        </w:numPr>
        <w:suppressAutoHyphens/>
        <w:autoSpaceDN w:val="0"/>
        <w:spacing w:after="12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81DFC">
        <w:rPr>
          <w:rFonts w:ascii="Times New Roman" w:eastAsia="Calibri" w:hAnsi="Times New Roman" w:cs="Times New Roman"/>
          <w:sz w:val="24"/>
          <w:szCs w:val="24"/>
          <w:lang w:eastAsia="ru-RU"/>
        </w:rPr>
        <w:t>слова "включает" и "включая" подлежат толкованию без ограничения сл</w:t>
      </w:r>
      <w:r w:rsidR="00336B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едующего за ними перечисления; </w:t>
      </w:r>
    </w:p>
    <w:p w:rsidR="00181DFC" w:rsidRDefault="00181DFC" w:rsidP="005F3C3C">
      <w:pPr>
        <w:widowControl w:val="0"/>
        <w:numPr>
          <w:ilvl w:val="2"/>
          <w:numId w:val="3"/>
        </w:numPr>
        <w:suppressAutoHyphens/>
        <w:autoSpaceDN w:val="0"/>
        <w:spacing w:after="12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81D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ссылки на Концессионное соглашение подразумевают также Приложения к Концессионному соглашению. </w:t>
      </w:r>
    </w:p>
    <w:p w:rsidR="005072C0" w:rsidRPr="00181DFC" w:rsidRDefault="005072C0" w:rsidP="005F3C3C">
      <w:pPr>
        <w:widowControl w:val="0"/>
        <w:numPr>
          <w:ilvl w:val="2"/>
          <w:numId w:val="3"/>
        </w:numPr>
        <w:suppressAutoHyphens/>
        <w:autoSpaceDN w:val="0"/>
        <w:spacing w:after="120" w:line="240" w:lineRule="auto"/>
        <w:jc w:val="both"/>
        <w:textAlignment w:val="baseline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1DFC" w:rsidRDefault="00181DFC" w:rsidP="005072C0">
      <w:pPr>
        <w:spacing w:after="12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81DFC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p w:rsidR="005072C0" w:rsidRPr="00181DFC" w:rsidRDefault="005072C0" w:rsidP="005072C0">
      <w:pPr>
        <w:spacing w:after="12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72C0">
        <w:rPr>
          <w:rFonts w:ascii="Times New Roman" w:hAnsi="Times New Roman"/>
          <w:b/>
          <w:bCs/>
          <w:sz w:val="24"/>
          <w:szCs w:val="24"/>
        </w:rPr>
        <w:t>Концедент</w:t>
      </w:r>
      <w:r w:rsidRPr="005072C0">
        <w:rPr>
          <w:rFonts w:ascii="Times New Roman" w:hAnsi="Times New Roman"/>
          <w:sz w:val="24"/>
          <w:szCs w:val="24"/>
        </w:rPr>
        <w:t>:</w:t>
      </w: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72C0">
        <w:rPr>
          <w:rFonts w:ascii="Times New Roman" w:hAnsi="Times New Roman"/>
          <w:sz w:val="24"/>
          <w:szCs w:val="24"/>
        </w:rPr>
        <w:t>Муниципальное образование «Город Глазов», от имени которого выступает Администрация муниципального образования «Город Глазов».</w:t>
      </w: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72C0">
        <w:rPr>
          <w:rFonts w:ascii="Times New Roman" w:hAnsi="Times New Roman"/>
          <w:sz w:val="24"/>
          <w:szCs w:val="24"/>
        </w:rPr>
        <w:t>Глава муниципального образования «Город Глазов»</w:t>
      </w: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72C0">
        <w:rPr>
          <w:rFonts w:ascii="Times New Roman" w:hAnsi="Times New Roman"/>
          <w:sz w:val="24"/>
          <w:szCs w:val="24"/>
        </w:rPr>
        <w:t>___________________ С.Н. Коновалов</w:t>
      </w: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72C0">
        <w:rPr>
          <w:rFonts w:ascii="Times New Roman" w:hAnsi="Times New Roman"/>
          <w:sz w:val="24"/>
          <w:szCs w:val="24"/>
        </w:rPr>
        <w:t>М.П.</w:t>
      </w: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72C0">
        <w:rPr>
          <w:rFonts w:ascii="Times New Roman" w:hAnsi="Times New Roman"/>
          <w:b/>
          <w:bCs/>
          <w:sz w:val="24"/>
          <w:szCs w:val="24"/>
        </w:rPr>
        <w:t>Предприятие</w:t>
      </w:r>
      <w:r w:rsidRPr="005072C0">
        <w:rPr>
          <w:rFonts w:ascii="Times New Roman" w:hAnsi="Times New Roman"/>
          <w:sz w:val="24"/>
          <w:szCs w:val="24"/>
        </w:rPr>
        <w:t>:</w:t>
      </w: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72C0">
        <w:rPr>
          <w:rFonts w:ascii="Times New Roman" w:hAnsi="Times New Roman"/>
          <w:sz w:val="24"/>
          <w:szCs w:val="24"/>
        </w:rPr>
        <w:t xml:space="preserve">Муниципальное унитарное предприятие «Глазовские теплосети» Муниципального образования «Город Глазов» </w:t>
      </w: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072C0" w:rsidRPr="005072C0" w:rsidRDefault="008D64B1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5072C0" w:rsidRPr="005072C0">
        <w:rPr>
          <w:rFonts w:ascii="Times New Roman" w:hAnsi="Times New Roman"/>
          <w:sz w:val="24"/>
          <w:szCs w:val="24"/>
        </w:rPr>
        <w:t>иректор</w:t>
      </w:r>
      <w:bookmarkStart w:id="0" w:name="_GoBack"/>
      <w:bookmarkEnd w:id="0"/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72C0">
        <w:rPr>
          <w:rFonts w:ascii="Times New Roman" w:hAnsi="Times New Roman"/>
          <w:sz w:val="24"/>
          <w:szCs w:val="24"/>
        </w:rPr>
        <w:t>___________________ Т.В.Касимов</w:t>
      </w: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72C0">
        <w:rPr>
          <w:rFonts w:ascii="Times New Roman" w:hAnsi="Times New Roman"/>
          <w:sz w:val="24"/>
          <w:szCs w:val="24"/>
        </w:rPr>
        <w:t>М.П.</w:t>
      </w: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72C0">
        <w:rPr>
          <w:rFonts w:ascii="Times New Roman" w:hAnsi="Times New Roman"/>
          <w:b/>
          <w:bCs/>
          <w:sz w:val="24"/>
          <w:szCs w:val="24"/>
        </w:rPr>
        <w:t>Концессионер</w:t>
      </w:r>
      <w:r w:rsidRPr="005072C0">
        <w:rPr>
          <w:rFonts w:ascii="Times New Roman" w:hAnsi="Times New Roman"/>
          <w:sz w:val="24"/>
          <w:szCs w:val="24"/>
        </w:rPr>
        <w:t>:</w:t>
      </w: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72C0">
        <w:rPr>
          <w:rFonts w:ascii="Times New Roman" w:hAnsi="Times New Roman"/>
          <w:sz w:val="24"/>
          <w:szCs w:val="24"/>
        </w:rPr>
        <w:t>Общество с ограниченной ответственностью «Тепловодоканал».</w:t>
      </w: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72C0">
        <w:rPr>
          <w:rFonts w:ascii="Times New Roman" w:hAnsi="Times New Roman"/>
          <w:sz w:val="24"/>
          <w:szCs w:val="24"/>
        </w:rPr>
        <w:t>Генеральный директор</w:t>
      </w: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72C0">
        <w:rPr>
          <w:rFonts w:ascii="Times New Roman" w:hAnsi="Times New Roman"/>
          <w:sz w:val="24"/>
          <w:szCs w:val="24"/>
        </w:rPr>
        <w:t>___________________ А.А. Бобырь</w:t>
      </w: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72C0">
        <w:rPr>
          <w:rFonts w:ascii="Times New Roman" w:hAnsi="Times New Roman"/>
          <w:sz w:val="24"/>
          <w:szCs w:val="24"/>
        </w:rPr>
        <w:t>М.П.</w:t>
      </w: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72C0">
        <w:rPr>
          <w:rFonts w:ascii="Times New Roman" w:hAnsi="Times New Roman"/>
          <w:b/>
          <w:bCs/>
          <w:sz w:val="24"/>
          <w:szCs w:val="24"/>
        </w:rPr>
        <w:t>Субъект</w:t>
      </w:r>
      <w:r w:rsidRPr="005072C0">
        <w:rPr>
          <w:rFonts w:ascii="Times New Roman" w:hAnsi="Times New Roman"/>
          <w:sz w:val="24"/>
          <w:szCs w:val="24"/>
        </w:rPr>
        <w:t>:</w:t>
      </w: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72C0">
        <w:rPr>
          <w:rFonts w:ascii="Times New Roman" w:hAnsi="Times New Roman"/>
          <w:sz w:val="24"/>
          <w:szCs w:val="24"/>
        </w:rPr>
        <w:t>Удмуртская Республика</w:t>
      </w: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72C0">
        <w:rPr>
          <w:rFonts w:ascii="Times New Roman" w:hAnsi="Times New Roman"/>
          <w:sz w:val="24"/>
          <w:szCs w:val="24"/>
        </w:rPr>
        <w:t>Глава Удмуртской Республики</w:t>
      </w: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72C0">
        <w:rPr>
          <w:rFonts w:ascii="Times New Roman" w:hAnsi="Times New Roman"/>
          <w:sz w:val="24"/>
          <w:szCs w:val="24"/>
        </w:rPr>
        <w:t>___________________ А.В. Бречалов</w:t>
      </w:r>
    </w:p>
    <w:p w:rsidR="005072C0" w:rsidRPr="005072C0" w:rsidRDefault="005072C0" w:rsidP="005072C0">
      <w:pPr>
        <w:pStyle w:val="ac"/>
        <w:spacing w:line="235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72C0">
        <w:rPr>
          <w:rFonts w:ascii="Times New Roman" w:hAnsi="Times New Roman"/>
          <w:sz w:val="24"/>
          <w:szCs w:val="24"/>
        </w:rPr>
        <w:t>М.П.</w:t>
      </w:r>
    </w:p>
    <w:p w:rsidR="005072C0" w:rsidRPr="005072C0" w:rsidRDefault="005072C0" w:rsidP="005072C0">
      <w:pPr>
        <w:pStyle w:val="ac"/>
        <w:spacing w:line="21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181DFC" w:rsidRPr="005072C0" w:rsidRDefault="00181DFC" w:rsidP="005F3C3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20FF" w:rsidRPr="005072C0" w:rsidRDefault="00EB20FF" w:rsidP="005F3C3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EB20FF" w:rsidRPr="005072C0" w:rsidSect="005F3C3C">
      <w:footerReference w:type="default" r:id="rId8"/>
      <w:pgSz w:w="11906" w:h="16838"/>
      <w:pgMar w:top="851" w:right="850" w:bottom="1134" w:left="1701" w:header="708" w:footer="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D6E7A" w:rsidRDefault="009D6E7A">
      <w:pPr>
        <w:spacing w:after="0" w:line="240" w:lineRule="auto"/>
      </w:pPr>
      <w:r>
        <w:separator/>
      </w:r>
    </w:p>
  </w:endnote>
  <w:endnote w:type="continuationSeparator" w:id="0">
    <w:p w:rsidR="009D6E7A" w:rsidRDefault="009D6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  <w:sz w:val="20"/>
        <w:szCs w:val="20"/>
      </w:rPr>
      <w:id w:val="408347834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310B86" w:rsidRDefault="00A846D4">
        <w:pPr>
          <w:pStyle w:val="a3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310B86">
          <w:rPr>
            <w:rFonts w:asciiTheme="majorHAnsi" w:eastAsiaTheme="majorEastAsia" w:hAnsiTheme="majorHAnsi" w:cstheme="majorBidi"/>
            <w:sz w:val="20"/>
            <w:szCs w:val="20"/>
          </w:rPr>
          <w:t xml:space="preserve">Стр. </w:t>
        </w:r>
        <w:r w:rsidRPr="00310B86">
          <w:rPr>
            <w:rFonts w:asciiTheme="minorHAnsi" w:eastAsiaTheme="minorEastAsia" w:hAnsiTheme="minorHAnsi" w:cs="Times New Roman"/>
            <w:sz w:val="20"/>
            <w:szCs w:val="20"/>
          </w:rPr>
          <w:fldChar w:fldCharType="begin"/>
        </w:r>
        <w:r w:rsidRPr="00310B86">
          <w:rPr>
            <w:sz w:val="20"/>
            <w:szCs w:val="20"/>
          </w:rPr>
          <w:instrText>PAGE    \* MERGEFORMAT</w:instrText>
        </w:r>
        <w:r w:rsidRPr="00310B86">
          <w:rPr>
            <w:rFonts w:asciiTheme="minorHAnsi" w:eastAsiaTheme="minorEastAsia" w:hAnsiTheme="minorHAnsi" w:cs="Times New Roman"/>
            <w:sz w:val="20"/>
            <w:szCs w:val="20"/>
          </w:rPr>
          <w:fldChar w:fldCharType="separate"/>
        </w:r>
        <w:r w:rsidR="000C4B02" w:rsidRPr="000C4B02">
          <w:rPr>
            <w:rFonts w:asciiTheme="majorHAnsi" w:eastAsiaTheme="majorEastAsia" w:hAnsiTheme="majorHAnsi" w:cstheme="majorBidi"/>
            <w:noProof/>
            <w:sz w:val="20"/>
            <w:szCs w:val="20"/>
          </w:rPr>
          <w:t>5</w:t>
        </w:r>
        <w:r w:rsidRPr="00310B86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435080" w:rsidRDefault="008D64B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D6E7A" w:rsidRDefault="009D6E7A">
      <w:pPr>
        <w:spacing w:after="0" w:line="240" w:lineRule="auto"/>
      </w:pPr>
      <w:r>
        <w:separator/>
      </w:r>
    </w:p>
  </w:footnote>
  <w:footnote w:type="continuationSeparator" w:id="0">
    <w:p w:rsidR="009D6E7A" w:rsidRDefault="009D6E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321A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57DD1478"/>
    <w:multiLevelType w:val="hybridMultilevel"/>
    <w:tmpl w:val="704CA1CC"/>
    <w:lvl w:ilvl="0" w:tplc="B082002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85021"/>
    <w:multiLevelType w:val="multilevel"/>
    <w:tmpl w:val="DAA22A0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497" w:hanging="50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lvlText w:val="(%4)"/>
      <w:lvlJc w:val="left"/>
      <w:pPr>
        <w:ind w:left="2067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D3C"/>
    <w:rsid w:val="00012D3E"/>
    <w:rsid w:val="000153F7"/>
    <w:rsid w:val="00034523"/>
    <w:rsid w:val="00051680"/>
    <w:rsid w:val="00095B0B"/>
    <w:rsid w:val="000C4B02"/>
    <w:rsid w:val="000C5565"/>
    <w:rsid w:val="000D4CF4"/>
    <w:rsid w:val="001046E9"/>
    <w:rsid w:val="00181DFC"/>
    <w:rsid w:val="001850F9"/>
    <w:rsid w:val="001E0D3C"/>
    <w:rsid w:val="001E2C35"/>
    <w:rsid w:val="00273A52"/>
    <w:rsid w:val="00277CE6"/>
    <w:rsid w:val="002D380D"/>
    <w:rsid w:val="002E180D"/>
    <w:rsid w:val="00336BB1"/>
    <w:rsid w:val="00387C97"/>
    <w:rsid w:val="003F5CFB"/>
    <w:rsid w:val="00435F60"/>
    <w:rsid w:val="004F2744"/>
    <w:rsid w:val="005072C0"/>
    <w:rsid w:val="005E6EB0"/>
    <w:rsid w:val="005F3C3C"/>
    <w:rsid w:val="00656033"/>
    <w:rsid w:val="006A1F5B"/>
    <w:rsid w:val="006A5519"/>
    <w:rsid w:val="00735FE3"/>
    <w:rsid w:val="007600C8"/>
    <w:rsid w:val="0076322D"/>
    <w:rsid w:val="007B4FAD"/>
    <w:rsid w:val="00826728"/>
    <w:rsid w:val="008D64B1"/>
    <w:rsid w:val="008F3C81"/>
    <w:rsid w:val="00910135"/>
    <w:rsid w:val="00956E85"/>
    <w:rsid w:val="009924E3"/>
    <w:rsid w:val="009A06A9"/>
    <w:rsid w:val="009C04AB"/>
    <w:rsid w:val="009D6E7A"/>
    <w:rsid w:val="00A5700F"/>
    <w:rsid w:val="00A846D4"/>
    <w:rsid w:val="00AE1DC8"/>
    <w:rsid w:val="00AE7387"/>
    <w:rsid w:val="00B02D27"/>
    <w:rsid w:val="00B14044"/>
    <w:rsid w:val="00B24297"/>
    <w:rsid w:val="00B438DC"/>
    <w:rsid w:val="00B856AC"/>
    <w:rsid w:val="00B90E3E"/>
    <w:rsid w:val="00BE6E68"/>
    <w:rsid w:val="00C41080"/>
    <w:rsid w:val="00C42F4B"/>
    <w:rsid w:val="00C441BD"/>
    <w:rsid w:val="00CC6046"/>
    <w:rsid w:val="00DB3F20"/>
    <w:rsid w:val="00DE1902"/>
    <w:rsid w:val="00EB20FF"/>
    <w:rsid w:val="00EB3B2E"/>
    <w:rsid w:val="00F1164D"/>
    <w:rsid w:val="00F125F4"/>
    <w:rsid w:val="00F13DC2"/>
    <w:rsid w:val="00F2461E"/>
    <w:rsid w:val="00F2650F"/>
    <w:rsid w:val="00F34E7B"/>
    <w:rsid w:val="00FA420F"/>
    <w:rsid w:val="00FB0C8D"/>
    <w:rsid w:val="00FC3DFE"/>
    <w:rsid w:val="00FE04FF"/>
    <w:rsid w:val="00FF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1FB6E"/>
  <w15:docId w15:val="{B1FF356F-058B-4D1A-9C16-1BB01004B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81DF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Нижний колонтитул Знак"/>
    <w:basedOn w:val="a0"/>
    <w:link w:val="a3"/>
    <w:uiPriority w:val="99"/>
    <w:rsid w:val="00181DFC"/>
    <w:rPr>
      <w:rFonts w:ascii="Times New Roman" w:hAnsi="Times New Roman"/>
      <w:sz w:val="24"/>
    </w:rPr>
  </w:style>
  <w:style w:type="character" w:styleId="a5">
    <w:name w:val="annotation reference"/>
    <w:basedOn w:val="a0"/>
    <w:uiPriority w:val="99"/>
    <w:semiHidden/>
    <w:unhideWhenUsed/>
    <w:rsid w:val="00181DF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81DFC"/>
    <w:pPr>
      <w:spacing w:after="8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81DFC"/>
    <w:rPr>
      <w:rFonts w:ascii="Times New Roman" w:hAnsi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81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1DFC"/>
    <w:rPr>
      <w:rFonts w:ascii="Tahoma" w:hAnsi="Tahoma" w:cs="Tahoma"/>
      <w:sz w:val="16"/>
      <w:szCs w:val="16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A846D4"/>
    <w:pPr>
      <w:spacing w:after="200"/>
    </w:pPr>
    <w:rPr>
      <w:rFonts w:asciiTheme="minorHAnsi" w:hAnsiTheme="minorHAnsi"/>
      <w:b/>
      <w:bCs/>
    </w:rPr>
  </w:style>
  <w:style w:type="character" w:customStyle="1" w:styleId="ab">
    <w:name w:val="Тема примечания Знак"/>
    <w:basedOn w:val="a7"/>
    <w:link w:val="aa"/>
    <w:uiPriority w:val="99"/>
    <w:semiHidden/>
    <w:rsid w:val="00A846D4"/>
    <w:rPr>
      <w:rFonts w:ascii="Times New Roman" w:hAnsi="Times New Roman"/>
      <w:b/>
      <w:bCs/>
      <w:sz w:val="20"/>
      <w:szCs w:val="20"/>
    </w:rPr>
  </w:style>
  <w:style w:type="paragraph" w:styleId="ac">
    <w:name w:val="No Spacing"/>
    <w:uiPriority w:val="1"/>
    <w:qFormat/>
    <w:rsid w:val="005072C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5A946-BE3C-44E0-9074-DCFE650C7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2149</Words>
  <Characters>12253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Васенина Юлия Александровна</dc:creator>
  <cp:keywords/>
  <dc:description/>
  <cp:lastModifiedBy>Будюкин Роман Геннадьевич</cp:lastModifiedBy>
  <cp:revision>8</cp:revision>
  <cp:lastPrinted>2019-01-14T12:17:00Z</cp:lastPrinted>
  <dcterms:created xsi:type="dcterms:W3CDTF">2020-06-25T05:46:00Z</dcterms:created>
  <dcterms:modified xsi:type="dcterms:W3CDTF">2020-10-28T07:11:00Z</dcterms:modified>
</cp:coreProperties>
</file>