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3F3550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3F3550">
        <w:rPr>
          <w:b/>
          <w:szCs w:val="24"/>
        </w:rPr>
        <w:t>Сибирская</w:t>
      </w:r>
      <w:proofErr w:type="gramEnd"/>
      <w:r w:rsidR="003F3550">
        <w:rPr>
          <w:b/>
          <w:szCs w:val="24"/>
        </w:rPr>
        <w:t>, д.87.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5352A6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Pr="003F3550" w:rsidRDefault="004144A7" w:rsidP="003F3550">
      <w:pPr>
        <w:pStyle w:val="a9"/>
        <w:ind w:left="567"/>
        <w:jc w:val="center"/>
        <w:rPr>
          <w:b/>
          <w:szCs w:val="24"/>
        </w:rPr>
      </w:pPr>
      <w:r w:rsidRPr="003F3550">
        <w:rPr>
          <w:b/>
          <w:szCs w:val="24"/>
        </w:rPr>
        <w:t>о проведении открытого конкурса</w:t>
      </w:r>
    </w:p>
    <w:p w:rsidR="004144A7" w:rsidRPr="003F3550" w:rsidRDefault="003F3550" w:rsidP="003F3550">
      <w:pPr>
        <w:pStyle w:val="a9"/>
        <w:jc w:val="center"/>
        <w:rPr>
          <w:b/>
          <w:szCs w:val="24"/>
        </w:rPr>
      </w:pPr>
      <w:r w:rsidRPr="003F3550">
        <w:rPr>
          <w:b/>
          <w:szCs w:val="24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Pr="003F3550">
        <w:rPr>
          <w:b/>
          <w:szCs w:val="24"/>
        </w:rPr>
        <w:t>Сибирская</w:t>
      </w:r>
      <w:proofErr w:type="gramEnd"/>
      <w:r w:rsidRPr="003F3550">
        <w:rPr>
          <w:b/>
          <w:szCs w:val="24"/>
        </w:rPr>
        <w:t>, д.87.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1.Основание проведения открытого конкурса по отбору управляющей организации для управления </w:t>
      </w:r>
      <w:r w:rsidR="003F3550">
        <w:rPr>
          <w:sz w:val="22"/>
          <w:szCs w:val="22"/>
        </w:rPr>
        <w:t>многоквартирным домом, расположенным по адресу: г. Глазов, ул</w:t>
      </w:r>
      <w:proofErr w:type="gramStart"/>
      <w:r w:rsidR="003F3550">
        <w:rPr>
          <w:sz w:val="22"/>
          <w:szCs w:val="22"/>
        </w:rPr>
        <w:t>.С</w:t>
      </w:r>
      <w:proofErr w:type="gramEnd"/>
      <w:r w:rsidR="003F3550">
        <w:rPr>
          <w:sz w:val="22"/>
          <w:szCs w:val="22"/>
        </w:rPr>
        <w:t xml:space="preserve">ибирская, д. 87 </w:t>
      </w:r>
      <w:r>
        <w:rPr>
          <w:sz w:val="22"/>
          <w:szCs w:val="22"/>
        </w:rPr>
        <w:t>(далее – конкурс):</w:t>
      </w:r>
    </w:p>
    <w:p w:rsidR="003F3550" w:rsidRDefault="003F3550" w:rsidP="003F3550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>
        <w:rPr>
          <w:sz w:val="22"/>
          <w:szCs w:val="22"/>
        </w:rPr>
        <w:t>:</w:t>
      </w:r>
    </w:p>
    <w:p w:rsidR="00197FB2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многоквартирный дом №87 по ул. </w:t>
      </w:r>
      <w:proofErr w:type="gramStart"/>
      <w:r>
        <w:rPr>
          <w:sz w:val="22"/>
          <w:szCs w:val="22"/>
        </w:rPr>
        <w:t>Сибирской</w:t>
      </w:r>
      <w:proofErr w:type="gramEnd"/>
      <w:r>
        <w:rPr>
          <w:sz w:val="22"/>
          <w:szCs w:val="22"/>
        </w:rPr>
        <w:t xml:space="preserve"> - </w:t>
      </w:r>
      <w:r w:rsidRPr="00BB3CB7">
        <w:rPr>
          <w:sz w:val="22"/>
          <w:szCs w:val="22"/>
        </w:rPr>
        <w:t xml:space="preserve">от </w:t>
      </w:r>
      <w:r>
        <w:rPr>
          <w:sz w:val="22"/>
          <w:szCs w:val="22"/>
        </w:rPr>
        <w:t>05.02.2018</w:t>
      </w:r>
      <w:r w:rsidRPr="00BB3CB7">
        <w:rPr>
          <w:sz w:val="22"/>
          <w:szCs w:val="22"/>
        </w:rPr>
        <w:t xml:space="preserve"> года №18-302-</w:t>
      </w:r>
      <w:r>
        <w:rPr>
          <w:sz w:val="22"/>
          <w:szCs w:val="22"/>
        </w:rPr>
        <w:t>003-2018</w:t>
      </w:r>
      <w:r w:rsidR="003F3550">
        <w:rPr>
          <w:sz w:val="22"/>
          <w:szCs w:val="22"/>
        </w:rPr>
        <w:t>.</w:t>
      </w:r>
    </w:p>
    <w:p w:rsidR="00197FB2" w:rsidRPr="00BD6308" w:rsidRDefault="00197FB2" w:rsidP="00197FB2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197FB2" w:rsidRDefault="00197FB2" w:rsidP="00197FB2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</w:t>
      </w:r>
      <w:r w:rsidR="003F3550" w:rsidRPr="000E2B7A">
        <w:rPr>
          <w:sz w:val="22"/>
          <w:szCs w:val="22"/>
        </w:rPr>
        <w:t xml:space="preserve">многоквартирным домом, расположенным по адресу: г. Глазов, ул. </w:t>
      </w:r>
      <w:proofErr w:type="gramStart"/>
      <w:r w:rsidR="003F3550">
        <w:rPr>
          <w:sz w:val="22"/>
          <w:szCs w:val="22"/>
        </w:rPr>
        <w:t>Сибирская</w:t>
      </w:r>
      <w:proofErr w:type="gramEnd"/>
      <w:r w:rsidR="003F3550">
        <w:rPr>
          <w:sz w:val="22"/>
          <w:szCs w:val="22"/>
        </w:rPr>
        <w:t>, д.</w:t>
      </w:r>
      <w:r w:rsidR="003F3550" w:rsidRPr="000E2B7A">
        <w:rPr>
          <w:sz w:val="22"/>
          <w:szCs w:val="22"/>
        </w:rPr>
        <w:t>8</w:t>
      </w:r>
      <w:r w:rsidR="003F3550">
        <w:rPr>
          <w:sz w:val="22"/>
          <w:szCs w:val="22"/>
        </w:rPr>
        <w:t>7</w:t>
      </w:r>
      <w:r w:rsidR="003F3550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C14670" w:rsidRPr="002E5E95" w:rsidTr="00C14670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C14670" w:rsidRPr="00C14670" w:rsidRDefault="003F3550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150893" w:rsidP="00C146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1 141,00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4670" w:rsidRPr="00C14670" w:rsidRDefault="00A15A73" w:rsidP="00D763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D7638A" w:rsidRPr="00D7638A">
              <w:rPr>
                <w:sz w:val="16"/>
                <w:szCs w:val="16"/>
              </w:rPr>
              <w:t xml:space="preserve">ысотой более               2-х этажей, </w:t>
            </w:r>
            <w:proofErr w:type="gramStart"/>
            <w:r w:rsidR="00D7638A" w:rsidRPr="00D7638A">
              <w:rPr>
                <w:sz w:val="16"/>
                <w:szCs w:val="16"/>
              </w:rPr>
              <w:t>благоустроенный</w:t>
            </w:r>
            <w:proofErr w:type="gramEnd"/>
            <w:r w:rsidR="00D7638A" w:rsidRPr="00D7638A">
              <w:rPr>
                <w:sz w:val="16"/>
                <w:szCs w:val="16"/>
              </w:rPr>
              <w:t>, оборудованный газовыми плитами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14670" w:rsidRPr="00C14670" w:rsidRDefault="00C14670" w:rsidP="00C14670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11 289,05</w:t>
            </w:r>
          </w:p>
        </w:tc>
      </w:tr>
      <w:tr w:rsidR="003F3550" w:rsidRPr="002E5E95" w:rsidTr="00DE57CC">
        <w:tc>
          <w:tcPr>
            <w:tcW w:w="534" w:type="dxa"/>
            <w:shd w:val="clear" w:color="auto" w:fill="auto"/>
          </w:tcPr>
          <w:p w:rsidR="003F3550" w:rsidRPr="00C14670" w:rsidRDefault="003F355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F3550" w:rsidRPr="00C14670" w:rsidRDefault="003F3550" w:rsidP="009A14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F3550" w:rsidRPr="00C14670" w:rsidRDefault="003F3550" w:rsidP="00DE57CC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3550" w:rsidRPr="00C14670" w:rsidRDefault="003F3550" w:rsidP="00DE57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3550" w:rsidRPr="00C14670" w:rsidRDefault="003F3550" w:rsidP="00DE57C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F3550" w:rsidRPr="00C14670" w:rsidRDefault="003F3550" w:rsidP="00C1467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1141,00</w:t>
            </w:r>
          </w:p>
          <w:p w:rsidR="003F3550" w:rsidRPr="00C14670" w:rsidRDefault="003F3550" w:rsidP="00DE57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3550" w:rsidRPr="00C14670" w:rsidRDefault="003F3550" w:rsidP="00DE57CC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3550" w:rsidRPr="003F3550" w:rsidRDefault="003F3550" w:rsidP="003F3550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3550" w:rsidRPr="003F3550" w:rsidRDefault="003F3550" w:rsidP="003F3550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3550" w:rsidRPr="003F3550" w:rsidRDefault="003F3550" w:rsidP="003F3550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3550" w:rsidRPr="003F3550" w:rsidRDefault="003F3550" w:rsidP="003F3550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11 289,05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A146F">
        <w:rPr>
          <w:sz w:val="22"/>
          <w:szCs w:val="22"/>
        </w:rPr>
        <w:t>7.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9A146F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9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150893">
        <w:rPr>
          <w:bCs/>
          <w:sz w:val="22"/>
          <w:szCs w:val="22"/>
        </w:rPr>
        <w:t>14.05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150893">
        <w:rPr>
          <w:rFonts w:ascii="Times New Roman" w:hAnsi="Times New Roman" w:cs="Times New Roman"/>
          <w:sz w:val="22"/>
          <w:szCs w:val="22"/>
        </w:rPr>
        <w:t>14.05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150893">
        <w:rPr>
          <w:rFonts w:ascii="Times New Roman" w:hAnsi="Times New Roman" w:cs="Times New Roman"/>
          <w:bCs/>
          <w:sz w:val="22"/>
          <w:szCs w:val="22"/>
        </w:rPr>
        <w:t>13.06</w:t>
      </w:r>
      <w:r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150893">
        <w:rPr>
          <w:rFonts w:ascii="Times New Roman" w:hAnsi="Times New Roman" w:cs="Times New Roman"/>
          <w:sz w:val="22"/>
          <w:szCs w:val="22"/>
        </w:rPr>
        <w:t>13.06.</w:t>
      </w:r>
      <w:r w:rsidRPr="00AC5EB4">
        <w:rPr>
          <w:rFonts w:ascii="Times New Roman" w:hAnsi="Times New Roman" w:cs="Times New Roman"/>
          <w:sz w:val="22"/>
          <w:szCs w:val="22"/>
        </w:rPr>
        <w:t>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150893">
        <w:rPr>
          <w:rFonts w:ascii="Times New Roman" w:hAnsi="Times New Roman" w:cs="Times New Roman"/>
          <w:sz w:val="22"/>
          <w:szCs w:val="22"/>
        </w:rPr>
        <w:t>15.06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 w:rsidR="00150893">
        <w:rPr>
          <w:rFonts w:ascii="Times New Roman" w:hAnsi="Times New Roman" w:cs="Times New Roman"/>
          <w:sz w:val="22"/>
          <w:szCs w:val="22"/>
        </w:rPr>
        <w:t>22.06.</w:t>
      </w:r>
      <w:r w:rsidRPr="00AC5EB4">
        <w:rPr>
          <w:rFonts w:ascii="Times New Roman" w:hAnsi="Times New Roman" w:cs="Times New Roman"/>
          <w:sz w:val="22"/>
          <w:szCs w:val="22"/>
        </w:rPr>
        <w:t>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9A146F" w:rsidP="009A146F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150893" w:rsidRPr="00150893" w:rsidRDefault="00150893" w:rsidP="00150893">
      <w:pPr>
        <w:pStyle w:val="a9"/>
        <w:ind w:left="567"/>
        <w:jc w:val="center"/>
        <w:rPr>
          <w:b/>
          <w:sz w:val="22"/>
          <w:szCs w:val="22"/>
        </w:rPr>
      </w:pPr>
      <w:r w:rsidRPr="00150893">
        <w:rPr>
          <w:b/>
          <w:sz w:val="22"/>
          <w:szCs w:val="22"/>
        </w:rPr>
        <w:t xml:space="preserve">открытого конкурса 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Pr="00150893">
        <w:rPr>
          <w:b/>
          <w:sz w:val="22"/>
          <w:szCs w:val="22"/>
        </w:rPr>
        <w:t>Сибирская</w:t>
      </w:r>
      <w:proofErr w:type="gramEnd"/>
      <w:r w:rsidRPr="00150893">
        <w:rPr>
          <w:b/>
          <w:sz w:val="22"/>
          <w:szCs w:val="22"/>
        </w:rPr>
        <w:t>, д.87.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150893">
        <w:rPr>
          <w:rFonts w:ascii="Times New Roman" w:hAnsi="Times New Roman" w:cs="Times New Roman"/>
          <w:sz w:val="22"/>
          <w:szCs w:val="22"/>
        </w:rPr>
        <w:t>,</w:t>
      </w:r>
      <w:r w:rsidR="00150893" w:rsidRPr="00150893">
        <w:rPr>
          <w:rFonts w:ascii="Times New Roman" w:hAnsi="Times New Roman" w:cs="Times New Roman"/>
          <w:sz w:val="22"/>
          <w:szCs w:val="22"/>
        </w:rPr>
        <w:t xml:space="preserve"> </w:t>
      </w:r>
      <w:r w:rsidR="00150893" w:rsidRPr="00C31B81">
        <w:rPr>
          <w:rFonts w:ascii="Times New Roman" w:hAnsi="Times New Roman" w:cs="Times New Roman"/>
          <w:sz w:val="22"/>
          <w:szCs w:val="22"/>
        </w:rPr>
        <w:t>распол</w:t>
      </w:r>
      <w:r w:rsidR="00150893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150893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150893" w:rsidRPr="00C31B81">
        <w:rPr>
          <w:rFonts w:ascii="Times New Roman" w:hAnsi="Times New Roman" w:cs="Times New Roman"/>
          <w:sz w:val="22"/>
          <w:szCs w:val="22"/>
        </w:rPr>
        <w:t>.</w:t>
      </w:r>
      <w:r w:rsidR="00150893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="00150893">
        <w:rPr>
          <w:rFonts w:ascii="Times New Roman" w:hAnsi="Times New Roman" w:cs="Times New Roman"/>
          <w:sz w:val="22"/>
          <w:szCs w:val="22"/>
        </w:rPr>
        <w:t>ибирская, д.87.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150893">
        <w:rPr>
          <w:sz w:val="22"/>
          <w:szCs w:val="22"/>
        </w:rPr>
        <w:t>13.06.</w:t>
      </w:r>
      <w:r w:rsidR="002B4C7E" w:rsidRPr="00C20A04">
        <w:rPr>
          <w:sz w:val="22"/>
          <w:szCs w:val="22"/>
        </w:rPr>
        <w:t>201</w:t>
      </w:r>
      <w:r w:rsidR="00A95907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150893">
        <w:rPr>
          <w:rFonts w:ascii="Times New Roman" w:hAnsi="Times New Roman" w:cs="Times New Roman"/>
          <w:sz w:val="22"/>
          <w:szCs w:val="22"/>
        </w:rPr>
        <w:t>14.05</w:t>
      </w:r>
      <w:r w:rsidR="00AC5EB4" w:rsidRPr="00AC5EB4">
        <w:rPr>
          <w:rFonts w:ascii="Times New Roman" w:hAnsi="Times New Roman" w:cs="Times New Roman"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150893">
        <w:rPr>
          <w:rFonts w:ascii="Times New Roman" w:hAnsi="Times New Roman" w:cs="Times New Roman"/>
          <w:bCs/>
          <w:sz w:val="22"/>
          <w:szCs w:val="22"/>
        </w:rPr>
        <w:t>13.06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.201</w:t>
      </w:r>
      <w:r w:rsidR="00AC5EB4" w:rsidRPr="00AC5EB4">
        <w:rPr>
          <w:rFonts w:ascii="Times New Roman" w:hAnsi="Times New Roman" w:cs="Times New Roman"/>
          <w:bCs/>
          <w:sz w:val="22"/>
          <w:szCs w:val="22"/>
        </w:rPr>
        <w:t>8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150893" w:rsidRPr="00150893" w:rsidRDefault="00150893" w:rsidP="00150893">
      <w:pPr>
        <w:pStyle w:val="a9"/>
        <w:ind w:left="567"/>
        <w:jc w:val="center"/>
        <w:rPr>
          <w:b/>
          <w:sz w:val="22"/>
          <w:szCs w:val="22"/>
        </w:rPr>
      </w:pPr>
      <w:r w:rsidRPr="00150893">
        <w:rPr>
          <w:b/>
          <w:sz w:val="22"/>
          <w:szCs w:val="22"/>
        </w:rPr>
        <w:t xml:space="preserve">открытого конкурса 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Pr="00150893">
        <w:rPr>
          <w:b/>
          <w:sz w:val="22"/>
          <w:szCs w:val="22"/>
        </w:rPr>
        <w:t>Сибирская</w:t>
      </w:r>
      <w:proofErr w:type="gramEnd"/>
      <w:r w:rsidRPr="00150893">
        <w:rPr>
          <w:b/>
          <w:sz w:val="22"/>
          <w:szCs w:val="22"/>
        </w:rPr>
        <w:t>, д.87.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0013D6">
              <w:rPr>
                <w:sz w:val="22"/>
                <w:szCs w:val="22"/>
              </w:rPr>
              <w:t>2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150893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150893">
              <w:rPr>
                <w:sz w:val="22"/>
                <w:szCs w:val="22"/>
              </w:rPr>
              <w:t>, по адресу: г</w:t>
            </w:r>
            <w:proofErr w:type="gramStart"/>
            <w:r w:rsidR="00150893">
              <w:rPr>
                <w:sz w:val="22"/>
                <w:szCs w:val="22"/>
              </w:rPr>
              <w:t>.Г</w:t>
            </w:r>
            <w:proofErr w:type="gramEnd"/>
            <w:r w:rsidR="00150893">
              <w:rPr>
                <w:sz w:val="22"/>
                <w:szCs w:val="22"/>
              </w:rPr>
              <w:t>лазов, ул.Сибирская, д.87.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150893">
              <w:rPr>
                <w:sz w:val="22"/>
                <w:szCs w:val="22"/>
              </w:rPr>
              <w:t>14.05.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150893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150893">
              <w:rPr>
                <w:b/>
                <w:sz w:val="22"/>
                <w:szCs w:val="22"/>
              </w:rPr>
              <w:t>13.06.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150893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150893">
              <w:rPr>
                <w:sz w:val="22"/>
                <w:szCs w:val="22"/>
              </w:rPr>
              <w:t>13.06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150893">
              <w:rPr>
                <w:sz w:val="22"/>
                <w:szCs w:val="22"/>
              </w:rPr>
              <w:t>15.06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B549C5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>1</w:t>
            </w:r>
            <w:r w:rsidR="00B549C5">
              <w:rPr>
                <w:b/>
                <w:sz w:val="22"/>
                <w:szCs w:val="22"/>
              </w:rPr>
              <w:t>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B549C5">
              <w:rPr>
                <w:b/>
                <w:sz w:val="22"/>
                <w:szCs w:val="22"/>
              </w:rPr>
              <w:t>22.06.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AC5EB4" w:rsidRPr="00AC5EB4">
              <w:rPr>
                <w:b/>
                <w:sz w:val="22"/>
                <w:szCs w:val="22"/>
              </w:rPr>
              <w:t>8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3"/>
                  </w:tblGrid>
                  <w:tr w:rsidR="004144A7" w:rsidTr="00E274C0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E274C0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B549C5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B549C5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87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1 141,00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A15A73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В</w:t>
                        </w:r>
                        <w:r w:rsidR="00D7638A" w:rsidRPr="00D7638A">
                          <w:rPr>
                            <w:sz w:val="16"/>
                            <w:szCs w:val="16"/>
                          </w:rPr>
                          <w:t xml:space="preserve">ысотой более               2-х этажей, </w:t>
                        </w:r>
                        <w:proofErr w:type="gramStart"/>
                        <w:r w:rsidR="00D7638A" w:rsidRPr="00D7638A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="00D7638A" w:rsidRPr="00D7638A">
                          <w:rPr>
                            <w:sz w:val="16"/>
                            <w:szCs w:val="16"/>
                          </w:rPr>
                          <w:t>, оборудованный газовыми плитами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225 781,08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461 677,43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7638A" w:rsidRPr="00D7638A" w:rsidRDefault="00D7638A" w:rsidP="00D7638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7638A">
                          <w:rPr>
                            <w:sz w:val="16"/>
                            <w:szCs w:val="16"/>
                          </w:rPr>
                          <w:t>28 644,10</w:t>
                        </w:r>
                      </w:p>
                    </w:tc>
                  </w:tr>
                  <w:tr w:rsidR="00B549C5" w:rsidTr="00E274C0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B549C5" w:rsidRDefault="00B549C5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B549C5" w:rsidRDefault="00B549C5" w:rsidP="00722C5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B549C5" w:rsidRPr="00AC5EB4" w:rsidRDefault="00B549C5" w:rsidP="00722C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C5EB4">
                          <w:rPr>
                            <w:b/>
                            <w:sz w:val="16"/>
                            <w:szCs w:val="16"/>
                          </w:rPr>
                          <w:t>ИТОГО: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B549C5" w:rsidRPr="00AC5EB4" w:rsidRDefault="00B549C5" w:rsidP="00722C51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B549C5" w:rsidRPr="00B549C5" w:rsidRDefault="00B549C5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49C5">
                          <w:rPr>
                            <w:b/>
                            <w:sz w:val="16"/>
                            <w:szCs w:val="16"/>
                          </w:rPr>
                          <w:t>1 141,00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B549C5" w:rsidRPr="00AC5EB4" w:rsidRDefault="00B549C5" w:rsidP="00AC5EB4">
                        <w:pPr>
                          <w:ind w:right="-108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B549C5" w:rsidRPr="00B549C5" w:rsidRDefault="00B549C5" w:rsidP="00E34D89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49C5">
                          <w:rPr>
                            <w:b/>
                            <w:sz w:val="16"/>
                            <w:szCs w:val="16"/>
                          </w:rPr>
                          <w:t>225 781,08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B549C5" w:rsidRPr="00B549C5" w:rsidRDefault="00B549C5" w:rsidP="00E34D89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49C5">
                          <w:rPr>
                            <w:b/>
                            <w:sz w:val="16"/>
                            <w:szCs w:val="16"/>
                          </w:rPr>
                          <w:t>461 677,43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B549C5" w:rsidRPr="00B549C5" w:rsidRDefault="00B549C5" w:rsidP="00E34D89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B549C5">
                          <w:rPr>
                            <w:b/>
                            <w:sz w:val="16"/>
                            <w:szCs w:val="16"/>
                          </w:rPr>
                          <w:t>28 644,10</w:t>
                        </w: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D7638A" w:rsidRPr="003E786A" w:rsidRDefault="00D7638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7638A" w:rsidTr="00E274C0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7638A" w:rsidRDefault="00D7638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:rsidR="00D7638A" w:rsidRDefault="00D7638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A15A73" w:rsidRDefault="00A15A73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</w:t>
      </w:r>
      <w:r>
        <w:lastRenderedPageBreak/>
        <w:t>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>
        <w:rPr>
          <w:rFonts w:ascii="Times New Roman" w:hAnsi="Times New Roman" w:cs="Times New Roman"/>
          <w:b/>
          <w:sz w:val="26"/>
          <w:szCs w:val="26"/>
        </w:rPr>
        <w:t>87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>
        <w:rPr>
          <w:rFonts w:ascii="Times New Roman" w:hAnsi="Times New Roman" w:cs="Times New Roman"/>
          <w:b/>
          <w:sz w:val="26"/>
          <w:szCs w:val="26"/>
        </w:rPr>
        <w:t xml:space="preserve">Сибирской,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B549C5" w:rsidRPr="00490716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87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proofErr w:type="gramStart"/>
      <w:r>
        <w:rPr>
          <w:rFonts w:ascii="Times New Roman" w:hAnsi="Times New Roman" w:cs="Times New Roman"/>
          <w:b/>
          <w:color w:val="000000"/>
          <w:sz w:val="26"/>
          <w:szCs w:val="26"/>
        </w:rPr>
        <w:t>Сибирской</w:t>
      </w:r>
      <w:proofErr w:type="gramEnd"/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B549C5" w:rsidRDefault="00B549C5" w:rsidP="00B549C5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B549C5" w:rsidRDefault="00B549C5" w:rsidP="00B549C5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B549C5" w:rsidRDefault="00B549C5" w:rsidP="00B549C5">
      <w:pPr>
        <w:spacing w:line="240" w:lineRule="atLeast"/>
        <w:jc w:val="right"/>
        <w:rPr>
          <w:b/>
          <w:sz w:val="24"/>
          <w:szCs w:val="24"/>
        </w:rPr>
      </w:pPr>
    </w:p>
    <w:p w:rsidR="00B549C5" w:rsidRDefault="00B549C5" w:rsidP="00B549C5">
      <w:pPr>
        <w:spacing w:line="240" w:lineRule="atLeast"/>
        <w:jc w:val="center"/>
        <w:rPr>
          <w:b/>
          <w:sz w:val="24"/>
          <w:szCs w:val="24"/>
        </w:rPr>
      </w:pPr>
    </w:p>
    <w:p w:rsidR="00B549C5" w:rsidRPr="00490716" w:rsidRDefault="00B549C5" w:rsidP="00B549C5">
      <w:pPr>
        <w:spacing w:line="240" w:lineRule="atLeast"/>
        <w:jc w:val="center"/>
        <w:rPr>
          <w:b/>
          <w:sz w:val="26"/>
          <w:szCs w:val="26"/>
        </w:rPr>
        <w:sectPr w:rsidR="00B549C5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E73432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E73432">
        <w:rPr>
          <w:b/>
          <w:sz w:val="24"/>
          <w:szCs w:val="24"/>
        </w:rPr>
        <w:fldChar w:fldCharType="separate"/>
      </w:r>
      <w:r w:rsidR="00E274C0">
        <w:rPr>
          <w:b/>
          <w:noProof/>
          <w:sz w:val="24"/>
          <w:szCs w:val="24"/>
        </w:rPr>
        <w:t>1</w:t>
      </w:r>
      <w:r w:rsidR="00E73432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B549C5" w:rsidRDefault="00B549C5" w:rsidP="00B549C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B549C5" w:rsidRDefault="00B549C5" w:rsidP="00B549C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г. Глазов, ул.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Сибирская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, д.87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г. Глазов, ул. </w:t>
      </w:r>
      <w:proofErr w:type="gramStart"/>
      <w:r>
        <w:rPr>
          <w:rFonts w:ascii="Times New Roman" w:hAnsi="Times New Roman" w:cs="Times New Roman"/>
          <w:sz w:val="22"/>
          <w:szCs w:val="22"/>
        </w:rPr>
        <w:t>Сибирская</w:t>
      </w:r>
      <w:proofErr w:type="gramEnd"/>
      <w:r>
        <w:rPr>
          <w:rFonts w:ascii="Times New Roman" w:hAnsi="Times New Roman" w:cs="Times New Roman"/>
          <w:sz w:val="22"/>
          <w:szCs w:val="22"/>
        </w:rPr>
        <w:t>, д.87.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B549C5" w:rsidRDefault="00B549C5" w:rsidP="00B549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</w:t>
      </w:r>
      <w:proofErr w:type="spellEnd"/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B549C5" w:rsidRDefault="00B549C5" w:rsidP="00B549C5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B549C5" w:rsidRDefault="00B549C5" w:rsidP="00B549C5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управления многоквартирным домом, расположенным по адресу: г. Глазов, ул. Сибирская, д.87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893" w:rsidRDefault="00150893">
      <w:r>
        <w:separator/>
      </w:r>
    </w:p>
  </w:endnote>
  <w:endnote w:type="continuationSeparator" w:id="0">
    <w:p w:rsidR="00150893" w:rsidRDefault="00150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93" w:rsidRDefault="00150893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93" w:rsidRDefault="00150893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93" w:rsidRDefault="00150893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B549C5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C5" w:rsidRDefault="00B549C5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93" w:rsidRDefault="00150893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93" w:rsidRDefault="0015089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893" w:rsidRDefault="00150893">
      <w:r>
        <w:separator/>
      </w:r>
    </w:p>
  </w:footnote>
  <w:footnote w:type="continuationSeparator" w:id="0">
    <w:p w:rsidR="00150893" w:rsidRDefault="001508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11123"/>
    <w:rsid w:val="00012330"/>
    <w:rsid w:val="000131D4"/>
    <w:rsid w:val="0002209C"/>
    <w:rsid w:val="000371B0"/>
    <w:rsid w:val="000429F7"/>
    <w:rsid w:val="00043E34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301E6"/>
    <w:rsid w:val="00130511"/>
    <w:rsid w:val="00135FAC"/>
    <w:rsid w:val="00147E5B"/>
    <w:rsid w:val="00150893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14966"/>
    <w:rsid w:val="00323B0B"/>
    <w:rsid w:val="0034710C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3377"/>
    <w:rsid w:val="003E786A"/>
    <w:rsid w:val="003F0250"/>
    <w:rsid w:val="003F35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C00"/>
    <w:rsid w:val="00722C51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49C5"/>
    <w:rsid w:val="00B556C2"/>
    <w:rsid w:val="00B63020"/>
    <w:rsid w:val="00B734C0"/>
    <w:rsid w:val="00B929A0"/>
    <w:rsid w:val="00BD6308"/>
    <w:rsid w:val="00BD65FA"/>
    <w:rsid w:val="00BF2084"/>
    <w:rsid w:val="00BF2D2D"/>
    <w:rsid w:val="00C114A5"/>
    <w:rsid w:val="00C14670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73432"/>
    <w:rsid w:val="00E837CD"/>
    <w:rsid w:val="00E85737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D4EC6-7B32-4FF5-9965-474BE34F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13867</Words>
  <Characters>79042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92724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2018-03-27T06:04:00Z</cp:lastPrinted>
  <dcterms:created xsi:type="dcterms:W3CDTF">2018-05-07T08:01:00Z</dcterms:created>
  <dcterms:modified xsi:type="dcterms:W3CDTF">2018-05-07T08:01:00Z</dcterms:modified>
</cp:coreProperties>
</file>